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001-41804</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4322" w:type="dxa"/>
                    <w:jc w:val="center"/>
                    <w:tblInd w:w="0" w:type="dxa"/>
                    <w:tblLayout w:type="fixed"/>
                    <w:tblCellMar>
                      <w:top w:w="28" w:type="dxa"/>
                      <w:left w:w="28" w:type="dxa"/>
                      <w:bottom w:w="28" w:type="dxa"/>
                      <w:right w:w="28" w:type="dxa"/>
                    </w:tblCellMar>
                  </w:tblPr>
                  <w:tblGrid>
                    <w:gridCol w:w="1261"/>
                    <w:gridCol w:w="306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3061" w:type="dxa"/>
                        <w:tcBorders/>
                        <w:vAlign w:val="center"/>
                      </w:tcPr>
                      <w:p>
                        <w:pPr>
                          <w:pStyle w:val="TableContents"/>
                          <w:bidi w:val="0"/>
                          <w:spacing w:before="0" w:after="283"/>
                          <w:jc w:val="left"/>
                          <w:rPr/>
                        </w:pPr>
                        <w:hyperlink r:id="rId3">
                          <w:r>
                            <w:rPr>
                              <w:rStyle w:val="InternetLink"/>
                            </w:rPr>
                            <w:t>DAVIS COMMODITIES Ltd</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306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314" w:type="dxa"/>
                    <w:jc w:val="center"/>
                    <w:tblInd w:w="0" w:type="dxa"/>
                    <w:tblLayout w:type="fixed"/>
                    <w:tblCellMar>
                      <w:top w:w="28" w:type="dxa"/>
                      <w:left w:w="28" w:type="dxa"/>
                      <w:bottom w:w="28" w:type="dxa"/>
                      <w:right w:w="28" w:type="dxa"/>
                    </w:tblCellMar>
                  </w:tblPr>
                  <w:tblGrid>
                    <w:gridCol w:w="2206"/>
                    <w:gridCol w:w="1066"/>
                    <w:gridCol w:w="1486"/>
                    <w:gridCol w:w="826"/>
                    <w:gridCol w:w="109"/>
                    <w:gridCol w:w="162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48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Bukit Batok Crescent, 10-01</w:t>
                        </w:r>
                      </w:p>
                    </w:tc>
                    <w:tc>
                      <w:tcPr>
                        <w:tcW w:w="162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48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Spire</w:t>
                        </w:r>
                      </w:p>
                    </w:tc>
                    <w:tc>
                      <w:tcPr>
                        <w:tcW w:w="162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48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8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658079</w:t>
                        </w:r>
                      </w:p>
                    </w:tc>
                    <w:tc>
                      <w:tcPr>
                        <w:tcW w:w="109" w:type="dxa"/>
                        <w:tcBorders/>
                      </w:tcPr>
                      <w:p>
                        <w:pPr>
                          <w:pStyle w:val="TableContents"/>
                          <w:bidi w:val="0"/>
                          <w:spacing w:before="0" w:after="283"/>
                          <w:jc w:val="left"/>
                          <w:rPr>
                            <w:sz w:val="4"/>
                            <w:szCs w:val="4"/>
                          </w:rPr>
                        </w:pPr>
                        <w:r>
                          <w:rPr>
                            <w:sz w:val="4"/>
                            <w:szCs w:val="4"/>
                          </w:rPr>
                        </w:r>
                      </w:p>
                    </w:tc>
                    <w:tc>
                      <w:tcPr>
                        <w:tcW w:w="162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487" w:type="dxa"/>
                        <w:gridSpan w:val="4"/>
                        <w:tcBorders/>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+65-8102 9960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2026-10-05</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Aravind Menon</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Hearings Advisor</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dtckdelistreason.txt"/>
      <w:bookmarkStart w:id="6" w:name="ksdtckdelistreason"/>
      <w:bookmarkEnd w:id="5"/>
      <w:bookmarkEnd w:id="6"/>
      <w:r>
        <w:rPr/>
        <w:t>Delisting Determination, The Nasdaq Stock Market, LLC, September 17, 2026</w:t>
      </w:r>
      <w:r>
        <w:br w:type="page"/>
      </w:r>
    </w:p>
    <w:p>
      <w:pPr>
        <w:pStyle w:val="PreformattedText"/>
        <w:bidi w:val="0"/>
        <w:spacing w:before="0" w:after="0"/>
        <w:jc w:val="left"/>
        <w:rPr/>
      </w:pPr>
      <w:r>
        <w:rPr/>
        <w:t>Davis Commodities Limited</w:t>
      </w:r>
    </w:p>
    <w:p>
      <w:pPr>
        <w:pStyle w:val="PreformattedText"/>
        <w:bidi w:val="0"/>
        <w:spacing w:before="0" w:after="0"/>
        <w:jc w:val="left"/>
        <w:rPr/>
      </w:pPr>
      <w:r>
        <w:rPr/>
        <w:t>The Nasdaq Stock Market LLC (the Exchange) has determined to remove</w:t>
      </w:r>
    </w:p>
    <w:p>
      <w:pPr>
        <w:pStyle w:val="PreformattedText"/>
        <w:bidi w:val="0"/>
        <w:spacing w:before="0" w:after="0"/>
        <w:jc w:val="left"/>
        <w:rPr/>
      </w:pPr>
      <w:r>
        <w:rPr/>
        <w:t>from listing the Class A Ordinary Shares of Davis Commodities Limited</w:t>
      </w:r>
    </w:p>
    <w:p>
      <w:pPr>
        <w:pStyle w:val="PreformattedText"/>
        <w:bidi w:val="0"/>
        <w:spacing w:before="0" w:after="0"/>
        <w:jc w:val="left"/>
        <w:rPr/>
      </w:pPr>
      <w:r>
        <w:rPr/>
        <w:t>effective at the opening of the trading session on October 15, 2026.</w:t>
      </w:r>
    </w:p>
    <w:p>
      <w:pPr>
        <w:pStyle w:val="PreformattedText"/>
        <w:bidi w:val="0"/>
        <w:spacing w:before="0" w:after="0"/>
        <w:jc w:val="left"/>
        <w:rPr/>
      </w:pPr>
      <w:r>
        <w:rPr/>
        <w:t>Based on review of information provided by the Company, Nasdaq Staff</w:t>
      </w:r>
    </w:p>
    <w:p>
      <w:pPr>
        <w:pStyle w:val="PreformattedText"/>
        <w:bidi w:val="0"/>
        <w:spacing w:before="0" w:after="0"/>
        <w:jc w:val="left"/>
        <w:rPr/>
      </w:pPr>
      <w:r>
        <w:rPr/>
        <w:t>determined that the Company no longer qualified for listing on the</w:t>
      </w:r>
    </w:p>
    <w:p>
      <w:pPr>
        <w:pStyle w:val="PreformattedText"/>
        <w:bidi w:val="0"/>
        <w:spacing w:before="0" w:after="0"/>
        <w:jc w:val="left"/>
        <w:rPr/>
      </w:pPr>
      <w:r>
        <w:rPr/>
        <w:t>Exchange pursuant to Listing Rule 5550(a)(2).</w:t>
      </w:r>
    </w:p>
    <w:p>
      <w:pPr>
        <w:pStyle w:val="PreformattedText"/>
        <w:bidi w:val="0"/>
        <w:spacing w:before="0" w:after="0"/>
        <w:jc w:val="left"/>
        <w:rPr/>
      </w:pPr>
      <w:r>
        <w:rPr/>
        <w:t>The Company was notified of the Staff determination on March 18, 2026.</w:t>
      </w:r>
    </w:p>
    <w:p>
      <w:pPr>
        <w:pStyle w:val="PreformattedText"/>
        <w:bidi w:val="0"/>
        <w:spacing w:before="0" w:after="0"/>
        <w:jc w:val="left"/>
        <w:rPr/>
      </w:pPr>
      <w:r>
        <w:rPr/>
        <w:t>On March 19, 2026 the Company exercised its right to appeal</w:t>
      </w:r>
    </w:p>
    <w:p>
      <w:pPr>
        <w:pStyle w:val="PreformattedText"/>
        <w:bidi w:val="0"/>
        <w:spacing w:before="0" w:after="0"/>
        <w:jc w:val="left"/>
        <w:rPr/>
      </w:pPr>
      <w:r>
        <w:rPr/>
        <w:t>the Staff determination to the Listing Qualifications Hearings</w:t>
      </w:r>
    </w:p>
    <w:p>
      <w:pPr>
        <w:pStyle w:val="PreformattedText"/>
        <w:bidi w:val="0"/>
        <w:spacing w:before="0" w:after="0"/>
        <w:jc w:val="left"/>
        <w:rPr/>
      </w:pPr>
      <w:r>
        <w:rPr/>
        <w:t>Panel (Panel) pursuant to Listing Rule 5815.</w:t>
      </w:r>
    </w:p>
    <w:p>
      <w:pPr>
        <w:pStyle w:val="PreformattedText"/>
        <w:bidi w:val="0"/>
        <w:spacing w:before="0" w:after="0"/>
        <w:jc w:val="left"/>
        <w:rPr/>
      </w:pPr>
      <w:r>
        <w:rPr/>
        <w:t>On April 21, 2026, the hearing was held.</w:t>
      </w:r>
    </w:p>
    <w:p>
      <w:pPr>
        <w:pStyle w:val="PreformattedText"/>
        <w:bidi w:val="0"/>
        <w:spacing w:before="0" w:after="0"/>
        <w:jc w:val="left"/>
        <w:rPr/>
      </w:pPr>
      <w:r>
        <w:rPr/>
        <w:t>On April 21, 2026 the Panel reached a</w:t>
      </w:r>
    </w:p>
    <w:p>
      <w:pPr>
        <w:pStyle w:val="PreformattedText"/>
        <w:bidi w:val="0"/>
        <w:spacing w:before="0" w:after="0"/>
        <w:jc w:val="left"/>
        <w:rPr/>
      </w:pPr>
      <w:r>
        <w:rPr/>
        <w:t>decision and a Decision letter was issued on April 22, 2026.</w:t>
      </w:r>
    </w:p>
    <w:p>
      <w:pPr>
        <w:pStyle w:val="PreformattedText"/>
        <w:bidi w:val="0"/>
        <w:spacing w:before="0" w:after="0"/>
        <w:jc w:val="left"/>
        <w:rPr/>
      </w:pPr>
      <w:r>
        <w:rPr/>
        <w:t>On May 5, 2026, the Company appealed the Panel Decision of April 22, 2026</w:t>
      </w:r>
    </w:p>
    <w:p>
      <w:pPr>
        <w:pStyle w:val="PreformattedText"/>
        <w:bidi w:val="0"/>
        <w:spacing w:before="0" w:after="0"/>
        <w:jc w:val="left"/>
        <w:rPr/>
      </w:pPr>
      <w:r>
        <w:rPr/>
        <w:t>to the Nasdaq Listing and Hearing Review Council (NLHRC).</w:t>
      </w:r>
    </w:p>
    <w:p>
      <w:pPr>
        <w:pStyle w:val="PreformattedText"/>
        <w:bidi w:val="0"/>
        <w:spacing w:before="0" w:after="0"/>
        <w:jc w:val="left"/>
        <w:rPr/>
      </w:pPr>
      <w:r>
        <w:rPr/>
        <w:t>Pursuant to Listing Rule 5820, the NLHRC considered the Company appeal</w:t>
      </w:r>
    </w:p>
    <w:p>
      <w:pPr>
        <w:pStyle w:val="PreformattedText"/>
        <w:bidi w:val="0"/>
        <w:spacing w:before="0" w:after="0"/>
        <w:jc w:val="left"/>
        <w:rPr/>
      </w:pPr>
      <w:r>
        <w:rPr/>
        <w:t>On July 28, 2026 the NLHRC affirmed the Panel Decision.</w:t>
      </w:r>
    </w:p>
    <w:p>
      <w:pPr>
        <w:pStyle w:val="PreformattedText"/>
        <w:bidi w:val="0"/>
        <w:spacing w:before="0" w:after="0"/>
        <w:jc w:val="left"/>
        <w:rPr/>
      </w:pPr>
      <w:r>
        <w:rPr/>
        <w:t>The Nasdaq Stock Market LLC Board of Directors</w:t>
      </w:r>
    </w:p>
    <w:p>
      <w:pPr>
        <w:pStyle w:val="PreformattedText"/>
        <w:bidi w:val="0"/>
        <w:spacing w:before="0" w:after="0"/>
        <w:jc w:val="left"/>
        <w:rPr/>
      </w:pPr>
      <w:r>
        <w:rPr/>
        <w:t>declined to call for review the NLHRC decision of</w:t>
      </w:r>
    </w:p>
    <w:p>
      <w:pPr>
        <w:pStyle w:val="PreformattedText"/>
        <w:bidi w:val="0"/>
        <w:spacing w:before="0" w:after="0"/>
        <w:jc w:val="left"/>
        <w:rPr/>
      </w:pPr>
      <w:r>
        <w:rPr/>
        <w:t>July 28, 2028.  A Final Action Letter was issued to</w:t>
      </w:r>
    </w:p>
    <w:p>
      <w:pPr>
        <w:pStyle w:val="PreformattedText"/>
        <w:bidi w:val="0"/>
        <w:spacing w:before="0" w:after="0"/>
        <w:jc w:val="left"/>
        <w:rPr/>
      </w:pPr>
      <w:r>
        <w:rPr/>
        <w:t>the Company on August 11, 2026.</w:t>
      </w:r>
    </w:p>
    <w:p>
      <w:pPr>
        <w:pStyle w:val="PreformattedText"/>
        <w:bidi w:val="0"/>
        <w:spacing w:before="0" w:after="0"/>
        <w:jc w:val="left"/>
        <w:rPr/>
      </w:pPr>
      <w:r>
        <w:rPr/>
        <w:t>The Company Class A Ordinary Shares were suspended on March 25, 2026.</w:t>
      </w:r>
    </w:p>
    <w:p>
      <w:pPr>
        <w:pStyle w:val="PreformattedText"/>
        <w:bidi w:val="0"/>
        <w:spacing w:before="0" w:after="0"/>
        <w:jc w:val="left"/>
        <w:rPr/>
      </w:pPr>
      <w:r>
        <w:rPr/>
        <w:t>The Staff determination to delist the Company Class A</w:t>
      </w:r>
    </w:p>
    <w:p>
      <w:pPr>
        <w:pStyle w:val="PreformattedText"/>
        <w:bidi w:val="0"/>
        <w:spacing w:before="0" w:after="283"/>
        <w:jc w:val="left"/>
        <w:rPr/>
      </w:pPr>
      <w:r>
        <w:rPr/>
        <w:t>Ordinary Shares became final on July 29,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41804" TargetMode="External"/><Relationship Id="rId3" Type="http://schemas.openxmlformats.org/officeDocument/2006/relationships/hyperlink" Target="http://www.sec.gov/cgi-bin/browse-edgar?action=getcompany&amp;CIK=0001949478"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569</Words>
  <Characters>3016</Characters>
  <CharactersWithSpaces>3522</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